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ind w:firstLine="420" w:firstLineChars="200"/>
              <w:rPr>
                <w:rFonts w:ascii="宋体" w:hAnsi="宋体" w:eastAsia="宋体"/>
                <w:sz w:val="21"/>
                <w:szCs w:val="21"/>
              </w:rPr>
            </w:pPr>
            <w:r>
              <w:rPr>
                <w:rFonts w:hint="default" w:ascii="Times New Roman" w:hAnsi="Times New Roman" w:eastAsia="宋体" w:cs="Times New Roman"/>
                <w:bCs/>
                <w:sz w:val="21"/>
                <w:szCs w:val="21"/>
                <w:lang w:eastAsia="zh-CN"/>
              </w:rPr>
              <w:t>昌邑市新好牧业有限公司昌邑年出栏25万头商品猪项目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1F65A17"/>
    <w:rsid w:val="20FC3FC1"/>
    <w:rsid w:val="44EB321A"/>
    <w:rsid w:val="68A53EF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2019-03-13T01:44:58Z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